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0" w:line="240" w:lineRule="auto"/>
        <w:ind w:left="0" w:right="0" w:firstLine="0"/>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sz w:val="28"/>
          <w:szCs w:val="28"/>
          <w:rtl w:val="0"/>
        </w:rPr>
        <w:t xml:space="preserve">PRIHLÁŠKA ZA ČLENA OBČIANSKEHO ZDRUŽENIA</w:t>
      </w:r>
      <w:r w:rsidDel="00000000" w:rsidR="00000000" w:rsidRPr="00000000">
        <w:rPr>
          <w:rtl w:val="0"/>
        </w:rPr>
      </w:r>
    </w:p>
    <w:p w:rsidR="00000000" w:rsidDel="00000000" w:rsidP="00000000" w:rsidRDefault="00000000" w:rsidRPr="00000000" w14:paraId="00000002">
      <w:pPr>
        <w:spacing w:after="100" w:before="60" w:line="240" w:lineRule="auto"/>
        <w:ind w:left="11" w:right="6" w:hanging="11"/>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Karpatský lezecký klub – Carpathian climbing club</w:t>
      </w:r>
      <w:r w:rsidDel="00000000" w:rsidR="00000000" w:rsidRPr="00000000">
        <w:rPr>
          <w:rtl w:val="0"/>
        </w:rPr>
      </w:r>
    </w:p>
    <w:tbl>
      <w:tblPr>
        <w:tblStyle w:val="Table1"/>
        <w:tblW w:w="9405.0" w:type="dxa"/>
        <w:jc w:val="left"/>
        <w:tblInd w:w="-191.0" w:type="dxa"/>
        <w:tblBorders>
          <w:top w:color="c1c1c1" w:space="0" w:sz="6" w:val="single"/>
          <w:left w:color="c1c1c1" w:space="0" w:sz="6" w:val="single"/>
          <w:bottom w:color="c1c1c1" w:space="0" w:sz="6" w:val="single"/>
          <w:right w:color="c1c1c1" w:space="0" w:sz="6" w:val="single"/>
          <w:insideH w:color="c1c1c1" w:space="0" w:sz="6" w:val="single"/>
          <w:insideV w:color="c1c1c1" w:space="0" w:sz="6" w:val="single"/>
        </w:tblBorders>
        <w:tblLayout w:type="fixed"/>
        <w:tblLook w:val="0000"/>
      </w:tblPr>
      <w:tblGrid>
        <w:gridCol w:w="2865"/>
        <w:gridCol w:w="6540"/>
        <w:tblGridChange w:id="0">
          <w:tblGrid>
            <w:gridCol w:w="2865"/>
            <w:gridCol w:w="6540"/>
          </w:tblGrid>
        </w:tblGridChange>
      </w:tblGrid>
      <w:tr>
        <w:trPr>
          <w:cantSplit w:val="0"/>
          <w:trHeight w:val="521" w:hRule="atLeast"/>
          <w:tblHeader w:val="0"/>
        </w:trPr>
        <w:tc>
          <w:tcPr>
            <w:gridSpan w:val="2"/>
            <w:tcBorders>
              <w:top w:color="c1c1c1" w:space="0" w:sz="6" w:val="single"/>
              <w:left w:color="c1c1c1" w:space="0" w:sz="6" w:val="single"/>
              <w:bottom w:color="c1c1c1" w:space="0" w:sz="6" w:val="single"/>
              <w:right w:color="c1c1c1" w:space="0" w:sz="6" w:val="single"/>
            </w:tcBorders>
            <w:shd w:fill="e5ecf6"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 w:right="2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Žiadateľ (fyzická osoba)</w:t>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05">
            <w:pPr>
              <w:widowControl w:val="1"/>
              <w:spacing w:after="96" w:before="96"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Meno a priezvisko</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06">
            <w:pPr>
              <w:widowControl w:val="1"/>
              <w:spacing w:after="96" w:before="96" w:line="259" w:lineRule="auto"/>
              <w:ind w:left="67" w:right="57" w:firstLine="0"/>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07">
            <w:pPr>
              <w:widowControl w:val="1"/>
              <w:spacing w:after="96" w:before="96"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Adresa trvalého pobytu</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08">
            <w:pPr>
              <w:widowControl w:val="1"/>
              <w:spacing w:after="96" w:before="96" w:line="259" w:lineRule="auto"/>
              <w:ind w:left="67" w:right="57" w:firstLine="0"/>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09">
            <w:pPr>
              <w:widowControl w:val="1"/>
              <w:spacing w:after="96" w:before="96"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Dátum narodenia  </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0A">
            <w:pPr>
              <w:widowControl w:val="1"/>
              <w:spacing w:after="96" w:before="96" w:line="259" w:lineRule="auto"/>
              <w:ind w:left="67" w:right="57" w:firstLine="0"/>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0B">
            <w:pPr>
              <w:widowControl w:val="1"/>
              <w:spacing w:after="0" w:before="0"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Kontakt </w:t>
            </w:r>
            <w:r w:rsidDel="00000000" w:rsidR="00000000" w:rsidRPr="00000000">
              <w:rPr>
                <w:rtl w:val="0"/>
              </w:rPr>
            </w:r>
          </w:p>
          <w:p w:rsidR="00000000" w:rsidDel="00000000" w:rsidP="00000000" w:rsidRDefault="00000000" w:rsidRPr="00000000" w14:paraId="0000000C">
            <w:pPr>
              <w:widowControl w:val="1"/>
              <w:spacing w:after="0" w:before="0"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(e-mail a telefón)</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0D">
            <w:pPr>
              <w:widowControl w:val="1"/>
              <w:spacing w:after="0" w:before="0" w:line="259" w:lineRule="auto"/>
              <w:ind w:left="67" w:right="57" w:firstLine="0"/>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0E">
            <w:pPr>
              <w:widowControl w:val="1"/>
              <w:spacing w:after="20" w:before="0" w:line="259" w:lineRule="auto"/>
              <w:ind w:left="67" w:right="6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Status </w:t>
            </w:r>
            <w:r w:rsidDel="00000000" w:rsidR="00000000" w:rsidRPr="00000000">
              <w:rPr>
                <w:rtl w:val="0"/>
              </w:rPr>
            </w:r>
          </w:p>
          <w:p w:rsidR="00000000" w:rsidDel="00000000" w:rsidP="00000000" w:rsidRDefault="00000000" w:rsidRPr="00000000" w14:paraId="0000000F">
            <w:pPr>
              <w:widowControl w:val="1"/>
              <w:spacing w:after="20" w:before="0" w:lineRule="auto"/>
              <w:ind w:left="77" w:right="67" w:hanging="10"/>
              <w:rPr>
                <w:rFonts w:ascii="Times New Roman" w:cs="Times New Roman" w:eastAsia="Times New Roman" w:hAnsi="Times New Roman"/>
                <w:sz w:val="22"/>
                <w:szCs w:val="22"/>
              </w:rPr>
            </w:pPr>
            <w:r w:rsidDel="00000000" w:rsidR="00000000" w:rsidRPr="00000000">
              <w:rPr>
                <w:sz w:val="22"/>
                <w:szCs w:val="22"/>
                <w:rtl w:val="0"/>
              </w:rPr>
              <w:t xml:space="preserve">(dospelý/študent/dôchodca)</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10">
            <w:pPr>
              <w:widowControl w:val="1"/>
              <w:spacing w:after="40" w:before="0" w:lineRule="auto"/>
              <w:ind w:left="77" w:right="0" w:hanging="10"/>
              <w:jc w:val="left"/>
              <w:rPr>
                <w:rFonts w:ascii="Times New Roman" w:cs="Times New Roman" w:eastAsia="Times New Roman" w:hAnsi="Times New Roman"/>
                <w:sz w:val="22"/>
                <w:szCs w:val="22"/>
              </w:rPr>
            </w:pPr>
            <w:r w:rsidDel="00000000" w:rsidR="00000000" w:rsidRPr="00000000">
              <w:rPr>
                <w:rtl w:val="0"/>
              </w:rPr>
            </w:r>
          </w:p>
        </w:tc>
      </w:tr>
      <w:tr>
        <w:trPr>
          <w:cantSplit w:val="0"/>
          <w:trHeight w:val="521" w:hRule="atLeast"/>
          <w:tblHeader w:val="0"/>
        </w:trPr>
        <w:tc>
          <w:tcPr>
            <w:gridSpan w:val="2"/>
            <w:tcBorders>
              <w:top w:color="c1c1c1" w:space="0" w:sz="6" w:val="single"/>
              <w:left w:color="c1c1c1" w:space="0" w:sz="6" w:val="single"/>
              <w:bottom w:color="c1c1c1" w:space="0" w:sz="6" w:val="single"/>
              <w:right w:color="c1c1c1" w:space="0" w:sz="6" w:val="single"/>
            </w:tcBorders>
            <w:shd w:fill="e5ecf6"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51" w:right="2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Zákonný zástupca žiadateľa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vyplní sa v prípade, ak je žiadateľom fyzická osoba mladšia ako 18 rokov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13">
            <w:pPr>
              <w:widowControl w:val="1"/>
              <w:spacing w:after="96" w:before="96" w:line="259" w:lineRule="auto"/>
              <w:ind w:left="28" w:right="28" w:firstLine="0"/>
              <w:jc w:val="center"/>
              <w:rPr>
                <w:rFonts w:ascii="Times New Roman" w:cs="Times New Roman" w:eastAsia="Times New Roman" w:hAnsi="Times New Roman"/>
                <w:sz w:val="22"/>
                <w:szCs w:val="22"/>
              </w:rPr>
            </w:pPr>
            <w:r w:rsidDel="00000000" w:rsidR="00000000" w:rsidRPr="00000000">
              <w:rPr>
                <w:sz w:val="22"/>
                <w:szCs w:val="22"/>
                <w:rtl w:val="0"/>
              </w:rPr>
              <w:t xml:space="preserve">Meno a priezvisko</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14">
            <w:pPr>
              <w:widowControl w:val="1"/>
              <w:spacing w:after="96" w:before="96" w:line="259" w:lineRule="auto"/>
              <w:ind w:left="0" w:right="57" w:firstLine="0"/>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15">
            <w:pPr>
              <w:widowControl w:val="1"/>
              <w:spacing w:after="96" w:before="96" w:line="259" w:lineRule="auto"/>
              <w:ind w:left="28" w:right="28" w:firstLine="0"/>
              <w:jc w:val="center"/>
              <w:rPr>
                <w:rFonts w:ascii="Times New Roman" w:cs="Times New Roman" w:eastAsia="Times New Roman" w:hAnsi="Times New Roman"/>
                <w:sz w:val="22"/>
                <w:szCs w:val="22"/>
              </w:rPr>
            </w:pPr>
            <w:r w:rsidDel="00000000" w:rsidR="00000000" w:rsidRPr="00000000">
              <w:rPr>
                <w:sz w:val="22"/>
                <w:szCs w:val="22"/>
                <w:rtl w:val="0"/>
              </w:rPr>
              <w:t xml:space="preserve">Adresa trvalého pobytu</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16">
            <w:pPr>
              <w:widowControl w:val="1"/>
              <w:spacing w:after="96" w:before="96" w:line="259" w:lineRule="auto"/>
              <w:ind w:left="0" w:right="57" w:firstLine="0"/>
              <w:jc w:val="cente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17">
            <w:pPr>
              <w:widowControl w:val="1"/>
              <w:spacing w:after="96" w:before="96" w:line="259" w:lineRule="auto"/>
              <w:ind w:left="28" w:right="28" w:firstLine="0"/>
              <w:jc w:val="center"/>
              <w:rPr>
                <w:rFonts w:ascii="Times New Roman" w:cs="Times New Roman" w:eastAsia="Times New Roman" w:hAnsi="Times New Roman"/>
                <w:sz w:val="22"/>
                <w:szCs w:val="22"/>
              </w:rPr>
            </w:pPr>
            <w:r w:rsidDel="00000000" w:rsidR="00000000" w:rsidRPr="00000000">
              <w:rPr>
                <w:sz w:val="22"/>
                <w:szCs w:val="22"/>
                <w:rtl w:val="0"/>
              </w:rPr>
              <w:t xml:space="preserve">Dátum narodenia  </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18">
            <w:pPr>
              <w:widowControl w:val="1"/>
              <w:spacing w:after="96" w:before="96" w:line="259" w:lineRule="auto"/>
              <w:ind w:left="0" w:right="57" w:firstLine="0"/>
              <w:jc w:val="center"/>
              <w:rPr>
                <w:rFonts w:ascii="Times New Roman" w:cs="Times New Roman" w:eastAsia="Times New Roman" w:hAnsi="Times New Roman"/>
                <w:sz w:val="22"/>
                <w:szCs w:val="22"/>
              </w:rPr>
            </w:pPr>
            <w:r w:rsidDel="00000000" w:rsidR="00000000" w:rsidRPr="00000000">
              <w:rPr>
                <w:rtl w:val="0"/>
              </w:rPr>
            </w:r>
          </w:p>
        </w:tc>
      </w:tr>
      <w:tr>
        <w:trPr>
          <w:cantSplit w:val="0"/>
          <w:trHeight w:val="3402" w:hRule="atLeast"/>
          <w:tblHeader w:val="0"/>
        </w:trPr>
        <w:tc>
          <w:tcPr>
            <w:gridSpan w:val="2"/>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19">
            <w:pPr>
              <w:widowControl w:val="1"/>
              <w:numPr>
                <w:ilvl w:val="0"/>
                <w:numId w:val="13"/>
              </w:numPr>
              <w:spacing w:after="160" w:before="80" w:line="232" w:lineRule="auto"/>
              <w:ind w:left="363" w:right="57" w:hanging="284"/>
              <w:rPr>
                <w:rFonts w:ascii="Times New Roman" w:cs="Times New Roman" w:eastAsia="Times New Roman" w:hAnsi="Times New Roman"/>
              </w:rPr>
            </w:pPr>
            <w:r w:rsidDel="00000000" w:rsidR="00000000" w:rsidRPr="00000000">
              <w:rPr>
                <w:sz w:val="22"/>
                <w:szCs w:val="22"/>
                <w:rtl w:val="0"/>
              </w:rPr>
              <w:t xml:space="preserve">Podpisom tejto prihlášky o členstvo v občianskom združení </w:t>
            </w:r>
            <w:r w:rsidDel="00000000" w:rsidR="00000000" w:rsidRPr="00000000">
              <w:rPr>
                <w:i w:val="1"/>
                <w:sz w:val="22"/>
                <w:szCs w:val="22"/>
                <w:rtl w:val="0"/>
              </w:rPr>
              <w:t xml:space="preserve">Karpatský lezecký klub – Carpathian climbing club</w:t>
            </w:r>
            <w:r w:rsidDel="00000000" w:rsidR="00000000" w:rsidRPr="00000000">
              <w:rPr>
                <w:sz w:val="22"/>
                <w:szCs w:val="22"/>
                <w:rtl w:val="0"/>
              </w:rPr>
              <w:t xml:space="preserve">, so sídlom </w:t>
            </w:r>
            <w:r w:rsidDel="00000000" w:rsidR="00000000" w:rsidRPr="00000000">
              <w:rPr>
                <w:b w:val="0"/>
                <w:i w:val="0"/>
                <w:smallCaps w:val="0"/>
                <w:strike w:val="0"/>
                <w:color w:val="000000"/>
                <w:sz w:val="22"/>
                <w:szCs w:val="22"/>
                <w:u w:val="none"/>
                <w:rtl w:val="0"/>
              </w:rPr>
              <w:t xml:space="preserve">Pri starom letisku 10035/2, 831 07</w:t>
            </w:r>
            <w:r w:rsidDel="00000000" w:rsidR="00000000" w:rsidRPr="00000000">
              <w:rPr>
                <w:b w:val="0"/>
                <w:smallCaps w:val="0"/>
                <w:strike w:val="0"/>
                <w:color w:val="000000"/>
                <w:sz w:val="22"/>
                <w:szCs w:val="22"/>
                <w:highlight w:val="white"/>
                <w:u w:val="none"/>
                <w:rtl w:val="0"/>
              </w:rPr>
              <w:t xml:space="preserve">  </w:t>
            </w:r>
            <w:r w:rsidDel="00000000" w:rsidR="00000000" w:rsidRPr="00000000">
              <w:rPr>
                <w:b w:val="0"/>
                <w:i w:val="0"/>
                <w:smallCaps w:val="0"/>
                <w:strike w:val="0"/>
                <w:color w:val="000000"/>
                <w:sz w:val="22"/>
                <w:szCs w:val="22"/>
                <w:highlight w:val="white"/>
                <w:u w:val="none"/>
                <w:rtl w:val="0"/>
              </w:rPr>
              <w:t xml:space="preserve">Bratislava – mestská časť Vajnory </w:t>
            </w:r>
            <w:r w:rsidDel="00000000" w:rsidR="00000000" w:rsidRPr="00000000">
              <w:rPr>
                <w:sz w:val="22"/>
                <w:szCs w:val="22"/>
                <w:rtl w:val="0"/>
              </w:rPr>
              <w:t xml:space="preserve">IČO: 42413435, zapísaného do evidencie občianskych združení vedenej Ministerstvom vnútra Slovenskej republiky dňa 30.07.2014, žiadateľ súhlasí s </w:t>
            </w:r>
            <w:r w:rsidDel="00000000" w:rsidR="00000000" w:rsidRPr="00000000">
              <w:rPr>
                <w:color w:val="000000"/>
                <w:sz w:val="22"/>
                <w:szCs w:val="22"/>
                <w:rtl w:val="0"/>
              </w:rPr>
              <w:t xml:space="preserve">cieľmi a stanovami občianskeho združenia </w:t>
            </w:r>
            <w:r w:rsidDel="00000000" w:rsidR="00000000" w:rsidRPr="00000000">
              <w:rPr>
                <w:i w:val="1"/>
                <w:color w:val="000000"/>
                <w:sz w:val="22"/>
                <w:szCs w:val="22"/>
                <w:rtl w:val="0"/>
              </w:rPr>
              <w:t xml:space="preserve">Karpatský lezecký klub – Carpathian climbing club</w:t>
            </w:r>
            <w:r w:rsidDel="00000000" w:rsidR="00000000" w:rsidRPr="00000000">
              <w:rPr>
                <w:color w:val="000000"/>
                <w:sz w:val="22"/>
                <w:szCs w:val="22"/>
                <w:rtl w:val="0"/>
              </w:rPr>
              <w:t xml:space="preserve"> a svojím podpisom sa zaväzuje dodržiavať </w:t>
            </w:r>
            <w:r w:rsidDel="00000000" w:rsidR="00000000" w:rsidRPr="00000000">
              <w:rPr>
                <w:sz w:val="22"/>
                <w:szCs w:val="22"/>
                <w:rtl w:val="0"/>
              </w:rPr>
              <w:t xml:space="preserve">stanovy tohto občianskeho združenia. </w:t>
            </w:r>
            <w:r w:rsidDel="00000000" w:rsidR="00000000" w:rsidRPr="00000000">
              <w:rPr>
                <w:rtl w:val="0"/>
              </w:rPr>
            </w:r>
          </w:p>
          <w:p w:rsidR="00000000" w:rsidDel="00000000" w:rsidP="00000000" w:rsidRDefault="00000000" w:rsidRPr="00000000" w14:paraId="0000001A">
            <w:pPr>
              <w:widowControl w:val="1"/>
              <w:numPr>
                <w:ilvl w:val="0"/>
                <w:numId w:val="13"/>
              </w:numPr>
              <w:spacing w:after="160" w:before="160" w:line="259" w:lineRule="auto"/>
              <w:ind w:left="362" w:right="54" w:hanging="283"/>
              <w:rPr>
                <w:rFonts w:ascii="Times New Roman" w:cs="Times New Roman" w:eastAsia="Times New Roman" w:hAnsi="Times New Roman"/>
              </w:rPr>
            </w:pPr>
            <w:r w:rsidDel="00000000" w:rsidR="00000000" w:rsidRPr="00000000">
              <w:rPr>
                <w:sz w:val="22"/>
                <w:szCs w:val="22"/>
                <w:rtl w:val="0"/>
              </w:rPr>
              <w:t xml:space="preserve">Podmienkou vzniku členstva je úhrada členského.</w:t>
            </w:r>
          </w:p>
          <w:p w:rsidR="00000000" w:rsidDel="00000000" w:rsidP="00000000" w:rsidRDefault="00000000" w:rsidRPr="00000000" w14:paraId="0000001B">
            <w:pPr>
              <w:widowControl w:val="1"/>
              <w:numPr>
                <w:ilvl w:val="0"/>
                <w:numId w:val="13"/>
              </w:numPr>
              <w:spacing w:after="160" w:before="160" w:line="259" w:lineRule="auto"/>
              <w:ind w:left="362" w:right="54" w:hanging="283"/>
              <w:rPr>
                <w:rFonts w:ascii="Times New Roman" w:cs="Times New Roman" w:eastAsia="Times New Roman" w:hAnsi="Times New Roman"/>
              </w:rPr>
            </w:pPr>
            <w:r w:rsidDel="00000000" w:rsidR="00000000" w:rsidRPr="00000000">
              <w:rPr>
                <w:sz w:val="22"/>
                <w:szCs w:val="22"/>
                <w:rtl w:val="0"/>
              </w:rPr>
              <w:t xml:space="preserve">Zakrúžkuj </w:t>
            </w:r>
            <w:r w:rsidDel="00000000" w:rsidR="00000000" w:rsidRPr="00000000">
              <w:rPr>
                <w:b w:val="1"/>
                <w:sz w:val="22"/>
                <w:szCs w:val="22"/>
                <w:rtl w:val="0"/>
              </w:rPr>
              <w:t xml:space="preserve">hrubo vytlačenú</w:t>
            </w:r>
            <w:r w:rsidDel="00000000" w:rsidR="00000000" w:rsidRPr="00000000">
              <w:rPr>
                <w:sz w:val="22"/>
                <w:szCs w:val="22"/>
                <w:rtl w:val="0"/>
              </w:rPr>
              <w:t xml:space="preserve">  zvolenú odpoveď.</w:t>
            </w:r>
            <w:r w:rsidDel="00000000" w:rsidR="00000000" w:rsidRPr="00000000">
              <w:rPr>
                <w:rtl w:val="0"/>
              </w:rPr>
            </w:r>
          </w:p>
          <w:p w:rsidR="00000000" w:rsidDel="00000000" w:rsidP="00000000" w:rsidRDefault="00000000" w:rsidRPr="00000000" w14:paraId="0000001C">
            <w:pPr>
              <w:widowControl w:val="1"/>
              <w:numPr>
                <w:ilvl w:val="0"/>
                <w:numId w:val="13"/>
              </w:numPr>
              <w:spacing w:after="100" w:before="160" w:line="232" w:lineRule="auto"/>
              <w:ind w:left="358" w:right="57" w:hanging="284"/>
              <w:rPr>
                <w:rFonts w:ascii="Times New Roman" w:cs="Times New Roman" w:eastAsia="Times New Roman" w:hAnsi="Times New Roman"/>
              </w:rPr>
            </w:pPr>
            <w:r w:rsidDel="00000000" w:rsidR="00000000" w:rsidRPr="00000000">
              <w:rPr>
                <w:sz w:val="22"/>
                <w:szCs w:val="22"/>
                <w:rtl w:val="0"/>
              </w:rPr>
              <w:t xml:space="preserve">Súhlasím, aby som sa stal/a členom SHS </w:t>
            </w:r>
            <w:r w:rsidDel="00000000" w:rsidR="00000000" w:rsidRPr="00000000">
              <w:rPr>
                <w:color w:val="000000"/>
                <w:sz w:val="22"/>
                <w:szCs w:val="22"/>
                <w:rtl w:val="0"/>
              </w:rPr>
              <w:t xml:space="preserve">JAMES</w:t>
            </w:r>
            <w:r w:rsidDel="00000000" w:rsidR="00000000" w:rsidRPr="00000000">
              <w:rPr>
                <w:sz w:val="22"/>
                <w:szCs w:val="22"/>
                <w:rtl w:val="0"/>
              </w:rPr>
              <w:t xml:space="preserve"> prostredníctvom</w:t>
            </w:r>
            <w:r w:rsidDel="00000000" w:rsidR="00000000" w:rsidRPr="00000000">
              <w:rPr>
                <w:sz w:val="22"/>
                <w:szCs w:val="22"/>
                <w:rtl w:val="0"/>
              </w:rPr>
              <w:t xml:space="preserve"> </w:t>
            </w:r>
            <w:r w:rsidDel="00000000" w:rsidR="00000000" w:rsidRPr="00000000">
              <w:rPr>
                <w:i w:val="1"/>
                <w:sz w:val="22"/>
                <w:szCs w:val="22"/>
                <w:rtl w:val="0"/>
              </w:rPr>
              <w:t xml:space="preserve">Karpatského lezeckého klubu – Carpathian climbing club</w:t>
            </w:r>
            <w:r w:rsidDel="00000000" w:rsidR="00000000" w:rsidRPr="00000000">
              <w:rPr>
                <w:sz w:val="22"/>
                <w:szCs w:val="22"/>
                <w:rtl w:val="0"/>
              </w:rPr>
              <w:t xml:space="preserve">?                </w:t>
            </w:r>
            <w:r w:rsidDel="00000000" w:rsidR="00000000" w:rsidRPr="00000000">
              <w:rPr>
                <w:b w:val="1"/>
                <w:color w:val="000000"/>
                <w:sz w:val="22"/>
                <w:szCs w:val="22"/>
                <w:rtl w:val="0"/>
              </w:rPr>
              <w:t xml:space="preserve">Á</w:t>
            </w:r>
            <w:r w:rsidDel="00000000" w:rsidR="00000000" w:rsidRPr="00000000">
              <w:rPr>
                <w:b w:val="1"/>
                <w:sz w:val="22"/>
                <w:szCs w:val="22"/>
                <w:rtl w:val="0"/>
              </w:rPr>
              <w:t xml:space="preserve">NO  - NIE</w:t>
            </w:r>
            <w:r w:rsidDel="00000000" w:rsidR="00000000" w:rsidRPr="00000000">
              <w:rPr>
                <w:rtl w:val="0"/>
              </w:rPr>
            </w:r>
          </w:p>
          <w:p w:rsidR="00000000" w:rsidDel="00000000" w:rsidP="00000000" w:rsidRDefault="00000000" w:rsidRPr="00000000" w14:paraId="0000001D">
            <w:pPr>
              <w:widowControl w:val="1"/>
              <w:numPr>
                <w:ilvl w:val="0"/>
                <w:numId w:val="13"/>
              </w:numPr>
              <w:spacing w:after="100" w:before="160" w:line="232" w:lineRule="auto"/>
              <w:ind w:left="358" w:right="57" w:hanging="284"/>
              <w:rPr>
                <w:rFonts w:ascii="Times New Roman" w:cs="Times New Roman" w:eastAsia="Times New Roman" w:hAnsi="Times New Roman"/>
              </w:rPr>
            </w:pPr>
            <w:r w:rsidDel="00000000" w:rsidR="00000000" w:rsidRPr="00000000">
              <w:rPr>
                <w:sz w:val="22"/>
                <w:szCs w:val="22"/>
                <w:rtl w:val="0"/>
              </w:rPr>
              <w:t xml:space="preserve">Mám záujem o poistenie </w:t>
            </w:r>
            <w:r w:rsidDel="00000000" w:rsidR="00000000" w:rsidRPr="00000000">
              <w:rPr>
                <w:b w:val="0"/>
                <w:sz w:val="22"/>
                <w:szCs w:val="22"/>
                <w:rtl w:val="0"/>
              </w:rPr>
              <w:t xml:space="preserve">: </w:t>
            </w:r>
            <w:r w:rsidDel="00000000" w:rsidR="00000000" w:rsidRPr="00000000">
              <w:rPr>
                <w:b w:val="1"/>
                <w:sz w:val="22"/>
                <w:szCs w:val="22"/>
                <w:rtl w:val="0"/>
              </w:rPr>
              <w:t xml:space="preserve"> JAMES SLOVENSKO  ,  JAMES </w:t>
            </w:r>
            <w:r w:rsidDel="00000000" w:rsidR="00000000" w:rsidRPr="00000000">
              <w:rPr>
                <w:b w:val="1"/>
                <w:sz w:val="22"/>
                <w:szCs w:val="22"/>
                <w:rtl w:val="0"/>
              </w:rPr>
              <w:t xml:space="preserve">SVET</w:t>
            </w:r>
            <w:r w:rsidDel="00000000" w:rsidR="00000000" w:rsidRPr="00000000">
              <w:rPr>
                <w:b w:val="1"/>
                <w:sz w:val="22"/>
                <w:szCs w:val="22"/>
                <w:rtl w:val="0"/>
              </w:rPr>
              <w:t xml:space="preserve">  , JAMES SVET PLUS</w:t>
            </w:r>
          </w:p>
          <w:p w:rsidR="00000000" w:rsidDel="00000000" w:rsidP="00000000" w:rsidRDefault="00000000" w:rsidRPr="00000000" w14:paraId="0000001E">
            <w:pPr>
              <w:spacing w:after="100" w:before="160" w:line="232" w:lineRule="auto"/>
              <w:ind w:left="362" w:right="57" w:firstLine="0"/>
              <w:rPr>
                <w:sz w:val="22"/>
                <w:szCs w:val="22"/>
              </w:rPr>
            </w:pPr>
            <w:r w:rsidDel="00000000" w:rsidR="00000000" w:rsidRPr="00000000">
              <w:rPr>
                <w:b w:val="1"/>
                <w:sz w:val="22"/>
                <w:szCs w:val="22"/>
                <w:rtl w:val="0"/>
              </w:rPr>
              <w:t xml:space="preserve">Prehľad o  poisteniach nájdete na :</w:t>
            </w:r>
            <w:hyperlink r:id="rId6">
              <w:r w:rsidDel="00000000" w:rsidR="00000000" w:rsidRPr="00000000">
                <w:rPr>
                  <w:color w:val="000080"/>
                  <w:sz w:val="22"/>
                  <w:szCs w:val="22"/>
                  <w:u w:val="single"/>
                  <w:rtl w:val="0"/>
                </w:rPr>
                <w:t xml:space="preserve">https://shsjames.org/formy-clenstva/james-slovensko/</w:t>
              </w:r>
            </w:hyperlink>
            <w:r w:rsidDel="00000000" w:rsidR="00000000" w:rsidRPr="00000000">
              <w:rPr>
                <w:rtl w:val="0"/>
              </w:rPr>
            </w:r>
          </w:p>
          <w:p w:rsidR="00000000" w:rsidDel="00000000" w:rsidP="00000000" w:rsidRDefault="00000000" w:rsidRPr="00000000" w14:paraId="0000001F">
            <w:pPr>
              <w:spacing w:after="100" w:before="160" w:line="232" w:lineRule="auto"/>
              <w:ind w:left="362" w:right="57" w:firstLine="0"/>
              <w:rPr>
                <w:b w:val="1"/>
                <w:sz w:val="22"/>
                <w:szCs w:val="22"/>
              </w:rPr>
            </w:pPr>
            <w:r w:rsidDel="00000000" w:rsidR="00000000" w:rsidRPr="00000000">
              <w:rPr>
                <w:sz w:val="22"/>
                <w:szCs w:val="22"/>
                <w:rtl w:val="0"/>
              </w:rPr>
              <w:t xml:space="preserve">                                                  </w:t>
            </w:r>
            <w:hyperlink r:id="rId7">
              <w:r w:rsidDel="00000000" w:rsidR="00000000" w:rsidRPr="00000000">
                <w:rPr>
                  <w:color w:val="000080"/>
                  <w:sz w:val="22"/>
                  <w:szCs w:val="22"/>
                  <w:u w:val="single"/>
                  <w:rtl w:val="0"/>
                </w:rPr>
                <w:t xml:space="preserve">https://shsjames.org/formy-clenstva/james-svet-a-james-svet-plus/</w:t>
              </w:r>
            </w:hyperlink>
            <w:r w:rsidDel="00000000" w:rsidR="00000000" w:rsidRPr="00000000">
              <w:rPr>
                <w:rtl w:val="0"/>
              </w:rPr>
            </w:r>
          </w:p>
          <w:p w:rsidR="00000000" w:rsidDel="00000000" w:rsidP="00000000" w:rsidRDefault="00000000" w:rsidRPr="00000000" w14:paraId="00000020">
            <w:pPr>
              <w:widowControl w:val="1"/>
              <w:numPr>
                <w:ilvl w:val="0"/>
                <w:numId w:val="13"/>
              </w:numPr>
              <w:spacing w:after="100" w:before="160" w:line="232" w:lineRule="auto"/>
              <w:ind w:left="358" w:right="57" w:hanging="284"/>
              <w:rPr>
                <w:rFonts w:ascii="Times New Roman" w:cs="Times New Roman" w:eastAsia="Times New Roman" w:hAnsi="Times New Roman"/>
              </w:rPr>
            </w:pPr>
            <w:r w:rsidDel="00000000" w:rsidR="00000000" w:rsidRPr="00000000">
              <w:rPr>
                <w:b w:val="0"/>
                <w:sz w:val="22"/>
                <w:szCs w:val="22"/>
                <w:rtl w:val="0"/>
              </w:rPr>
              <w:t xml:space="preserve">ID člena SHS James (</w:t>
            </w:r>
            <w:r w:rsidDel="00000000" w:rsidR="00000000" w:rsidRPr="00000000">
              <w:rPr>
                <w:b w:val="0"/>
                <w:i w:val="1"/>
                <w:sz w:val="22"/>
                <w:szCs w:val="22"/>
                <w:rtl w:val="0"/>
              </w:rPr>
              <w:t xml:space="preserve">ak už je žiadateľ členom</w:t>
            </w:r>
            <w:r w:rsidDel="00000000" w:rsidR="00000000" w:rsidRPr="00000000">
              <w:rPr>
                <w:b w:val="0"/>
                <w:sz w:val="22"/>
                <w:szCs w:val="22"/>
                <w:rtl w:val="0"/>
              </w:rPr>
              <w:t xml:space="preserve">)   ____________________________</w:t>
            </w:r>
            <w:r w:rsidDel="00000000" w:rsidR="00000000" w:rsidRPr="00000000">
              <w:rPr>
                <w:rtl w:val="0"/>
              </w:rPr>
            </w:r>
          </w:p>
          <w:p w:rsidR="00000000" w:rsidDel="00000000" w:rsidP="00000000" w:rsidRDefault="00000000" w:rsidRPr="00000000" w14:paraId="00000021">
            <w:pPr>
              <w:widowControl w:val="1"/>
              <w:numPr>
                <w:ilvl w:val="0"/>
                <w:numId w:val="13"/>
              </w:numPr>
              <w:spacing w:after="100" w:before="160" w:line="232" w:lineRule="auto"/>
              <w:ind w:left="358" w:right="57" w:hanging="284"/>
              <w:rPr>
                <w:rFonts w:ascii="Times New Roman" w:cs="Times New Roman" w:eastAsia="Times New Roman" w:hAnsi="Times New Roman"/>
              </w:rPr>
            </w:pPr>
            <w:r w:rsidDel="00000000" w:rsidR="00000000" w:rsidRPr="00000000">
              <w:rPr>
                <w:b w:val="0"/>
                <w:sz w:val="22"/>
                <w:szCs w:val="22"/>
                <w:rtl w:val="0"/>
              </w:rPr>
              <w:t xml:space="preserve">Pred podpisom prihlášky som sa oboznámil so spracovaním osobných údajov</w:t>
            </w:r>
            <w:r w:rsidDel="00000000" w:rsidR="00000000" w:rsidRPr="00000000">
              <w:rPr>
                <w:sz w:val="22"/>
                <w:szCs w:val="22"/>
                <w:rtl w:val="0"/>
              </w:rPr>
              <w:t xml:space="preserve"> a súhlasím s ich spracovaním ?                                                </w:t>
            </w:r>
            <w:r w:rsidDel="00000000" w:rsidR="00000000" w:rsidRPr="00000000">
              <w:rPr>
                <w:b w:val="0"/>
                <w:sz w:val="22"/>
                <w:szCs w:val="22"/>
                <w:rtl w:val="0"/>
              </w:rPr>
              <w:t xml:space="preserve"> </w:t>
            </w:r>
            <w:r w:rsidDel="00000000" w:rsidR="00000000" w:rsidRPr="00000000">
              <w:rPr>
                <w:b w:val="1"/>
                <w:color w:val="000000"/>
                <w:sz w:val="22"/>
                <w:szCs w:val="22"/>
                <w:rtl w:val="0"/>
              </w:rPr>
              <w:t xml:space="preserve">Á</w:t>
            </w:r>
            <w:r w:rsidDel="00000000" w:rsidR="00000000" w:rsidRPr="00000000">
              <w:rPr>
                <w:b w:val="1"/>
                <w:sz w:val="22"/>
                <w:szCs w:val="22"/>
                <w:rtl w:val="0"/>
              </w:rPr>
              <w:t xml:space="preserve">NO  - NIE</w:t>
            </w:r>
            <w:r w:rsidDel="00000000" w:rsidR="00000000" w:rsidRPr="00000000">
              <w:rPr>
                <w:rtl w:val="0"/>
              </w:rPr>
            </w:r>
          </w:p>
          <w:p w:rsidR="00000000" w:rsidDel="00000000" w:rsidP="00000000" w:rsidRDefault="00000000" w:rsidRPr="00000000" w14:paraId="00000022">
            <w:pPr>
              <w:widowControl w:val="1"/>
              <w:spacing w:after="100" w:before="160" w:line="232" w:lineRule="auto"/>
              <w:ind w:left="362" w:right="57" w:firstLine="0"/>
              <w:rPr/>
            </w:pPr>
            <w:r w:rsidDel="00000000" w:rsidR="00000000" w:rsidRPr="00000000">
              <w:rPr>
                <w:rtl w:val="0"/>
              </w:rPr>
            </w:r>
          </w:p>
        </w:tc>
      </w:tr>
      <w:tr>
        <w:trPr>
          <w:cantSplit w:val="0"/>
          <w:tblHeader w:val="0"/>
        </w:trPr>
        <w:tc>
          <w:tcPr>
            <w:tcBorders>
              <w:top w:color="c1c1c1" w:space="0" w:sz="6" w:val="single"/>
              <w:left w:color="c1c1c1" w:space="0" w:sz="6" w:val="single"/>
              <w:bottom w:color="c1c1c1" w:space="0" w:sz="6" w:val="single"/>
              <w:right w:color="c1c1c1" w:space="0" w:sz="6" w:val="single"/>
            </w:tcBorders>
            <w:shd w:fill="auto" w:val="clear"/>
            <w:vAlign w:val="bottom"/>
          </w:tcPr>
          <w:p w:rsidR="00000000" w:rsidDel="00000000" w:rsidP="00000000" w:rsidRDefault="00000000" w:rsidRPr="00000000" w14:paraId="00000024">
            <w:pPr>
              <w:widowControl w:val="1"/>
              <w:spacing w:after="96" w:before="40" w:line="259" w:lineRule="auto"/>
              <w:ind w:left="51" w:right="57" w:firstLine="0"/>
              <w:rPr>
                <w:rFonts w:ascii="Times New Roman" w:cs="Times New Roman" w:eastAsia="Times New Roman" w:hAnsi="Times New Roman"/>
                <w:sz w:val="22"/>
                <w:szCs w:val="22"/>
              </w:rPr>
            </w:pPr>
            <w:r w:rsidDel="00000000" w:rsidR="00000000" w:rsidRPr="00000000">
              <w:rPr>
                <w:sz w:val="22"/>
                <w:szCs w:val="22"/>
                <w:rtl w:val="0"/>
              </w:rPr>
              <w:t xml:space="preserve">Dátum podania prihlášky:</w:t>
            </w:r>
            <w:r w:rsidDel="00000000" w:rsidR="00000000" w:rsidRPr="00000000">
              <w:rPr>
                <w:rtl w:val="0"/>
              </w:rPr>
            </w:r>
          </w:p>
        </w:tc>
        <w:tc>
          <w:tcPr>
            <w:tcBorders>
              <w:top w:color="c1c1c1" w:space="0" w:sz="6" w:val="single"/>
              <w:left w:color="c1c1c1" w:space="0" w:sz="6" w:val="single"/>
              <w:bottom w:color="c1c1c1" w:space="0" w:sz="6" w:val="single"/>
              <w:right w:color="c1c1c1" w:space="0" w:sz="6" w:val="single"/>
            </w:tcBorders>
            <w:shd w:fill="auto" w:val="clear"/>
            <w:vAlign w:val="center"/>
          </w:tcPr>
          <w:p w:rsidR="00000000" w:rsidDel="00000000" w:rsidP="00000000" w:rsidRDefault="00000000" w:rsidRPr="00000000" w14:paraId="00000025">
            <w:pPr>
              <w:widowControl w:val="1"/>
              <w:spacing w:after="96" w:before="40" w:lineRule="auto"/>
              <w:jc w:val="right"/>
              <w:rPr>
                <w:rFonts w:ascii="Times New Roman" w:cs="Times New Roman" w:eastAsia="Times New Roman" w:hAnsi="Times New Roman"/>
                <w:sz w:val="22"/>
                <w:szCs w:val="22"/>
              </w:rPr>
            </w:pPr>
            <w:r w:rsidDel="00000000" w:rsidR="00000000" w:rsidRPr="00000000">
              <w:rPr>
                <w:rtl w:val="0"/>
              </w:rPr>
            </w:r>
          </w:p>
        </w:tc>
      </w:tr>
      <w:tr>
        <w:trPr>
          <w:cantSplit w:val="0"/>
          <w:trHeight w:val="567" w:hRule="atLeast"/>
          <w:tblHeader w:val="0"/>
        </w:trPr>
        <w:tc>
          <w:tcPr>
            <w:gridSpan w:val="2"/>
            <w:tcBorders>
              <w:top w:color="c1c1c1" w:space="0" w:sz="6" w:val="single"/>
              <w:left w:color="c1c1c1" w:space="0" w:sz="6" w:val="single"/>
              <w:bottom w:color="c1c1c1" w:space="0" w:sz="6" w:val="single"/>
              <w:right w:color="c1c1c1" w:space="0" w:sz="6" w:val="single"/>
            </w:tcBorders>
            <w:shd w:fill="auto" w:val="clear"/>
          </w:tcPr>
          <w:p w:rsidR="00000000" w:rsidDel="00000000" w:rsidP="00000000" w:rsidRDefault="00000000" w:rsidRPr="00000000" w14:paraId="00000026">
            <w:pPr>
              <w:widowControl w:val="1"/>
              <w:spacing w:after="160" w:before="0" w:line="259" w:lineRule="auto"/>
              <w:ind w:left="0" w:right="0" w:firstLine="0"/>
              <w:jc w:val="left"/>
              <w:rPr>
                <w:rFonts w:ascii="Times New Roman" w:cs="Times New Roman" w:eastAsia="Times New Roman" w:hAnsi="Times New Roman"/>
                <w:sz w:val="22"/>
                <w:szCs w:val="22"/>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7">
            <w:pPr>
              <w:widowControl w:val="1"/>
              <w:spacing w:after="80" w:before="0" w:line="259" w:lineRule="auto"/>
              <w:ind w:left="0" w:right="57" w:firstLine="0"/>
              <w:jc w:val="center"/>
              <w:rPr>
                <w:rFonts w:ascii="Times New Roman" w:cs="Times New Roman" w:eastAsia="Times New Roman" w:hAnsi="Times New Roman"/>
                <w:sz w:val="22"/>
                <w:szCs w:val="22"/>
              </w:rPr>
            </w:pPr>
            <w:r w:rsidDel="00000000" w:rsidR="00000000" w:rsidRPr="00000000">
              <w:rPr>
                <w:sz w:val="22"/>
                <w:szCs w:val="22"/>
                <w:rtl w:val="0"/>
              </w:rPr>
              <w:t xml:space="preserve">                                                                                ____________________________ </w:t>
            </w:r>
            <w:r w:rsidDel="00000000" w:rsidR="00000000" w:rsidRPr="00000000">
              <w:rPr>
                <w:rtl w:val="0"/>
              </w:rPr>
            </w:r>
          </w:p>
          <w:p w:rsidR="00000000" w:rsidDel="00000000" w:rsidP="00000000" w:rsidRDefault="00000000" w:rsidRPr="00000000" w14:paraId="00000028">
            <w:pPr>
              <w:widowControl w:val="1"/>
              <w:spacing w:after="120" w:before="0" w:line="259" w:lineRule="auto"/>
              <w:ind w:left="0" w:right="57" w:firstLine="0"/>
              <w:jc w:val="center"/>
              <w:rPr>
                <w:rFonts w:ascii="Times New Roman" w:cs="Times New Roman" w:eastAsia="Times New Roman" w:hAnsi="Times New Roman"/>
              </w:rPr>
            </w:pPr>
            <w:r w:rsidDel="00000000" w:rsidR="00000000" w:rsidRPr="00000000">
              <w:rPr>
                <w:sz w:val="22"/>
                <w:szCs w:val="22"/>
                <w:rtl w:val="0"/>
              </w:rPr>
              <w:t xml:space="preserve">                                                                                    </w:t>
            </w:r>
            <w:r w:rsidDel="00000000" w:rsidR="00000000" w:rsidRPr="00000000">
              <w:rPr>
                <w:sz w:val="20"/>
                <w:szCs w:val="20"/>
                <w:rtl w:val="0"/>
              </w:rPr>
              <w:t xml:space="preserve">Podpis žiadateľa </w:t>
            </w:r>
            <w:r w:rsidDel="00000000" w:rsidR="00000000" w:rsidRPr="00000000">
              <w:rPr>
                <w:rtl w:val="0"/>
              </w:rPr>
            </w:r>
          </w:p>
        </w:tc>
      </w:tr>
      <w:tr>
        <w:trPr>
          <w:cantSplit w:val="0"/>
          <w:trHeight w:val="120" w:hRule="atLeast"/>
          <w:tblHeader w:val="0"/>
        </w:trPr>
        <w:tc>
          <w:tcPr>
            <w:gridSpan w:val="2"/>
            <w:tcBorders>
              <w:top w:color="c1c1c1" w:space="0" w:sz="6" w:val="single"/>
              <w:left w:color="c1c1c1" w:space="0" w:sz="6" w:val="single"/>
              <w:bottom w:color="c1c1c1" w:space="0" w:sz="6" w:val="single"/>
              <w:right w:color="c1c1c1" w:space="0" w:sz="6" w:val="single"/>
            </w:tcBorders>
            <w:shd w:fill="auto" w:val="clear"/>
          </w:tcPr>
          <w:p w:rsidR="00000000" w:rsidDel="00000000" w:rsidP="00000000" w:rsidRDefault="00000000" w:rsidRPr="00000000" w14:paraId="0000002A">
            <w:pPr>
              <w:widowControl w:val="1"/>
              <w:spacing w:after="120" w:before="40" w:line="259" w:lineRule="auto"/>
              <w:ind w:left="51" w:right="0" w:firstLine="0"/>
              <w:jc w:val="left"/>
              <w:rPr>
                <w:rFonts w:ascii="Times New Roman" w:cs="Times New Roman" w:eastAsia="Times New Roman" w:hAnsi="Times New Roman"/>
                <w:color w:val="000000"/>
                <w:sz w:val="22"/>
                <w:szCs w:val="22"/>
              </w:rPr>
            </w:pPr>
            <w:r w:rsidDel="00000000" w:rsidR="00000000" w:rsidRPr="00000000">
              <w:rPr>
                <w:color w:val="000000"/>
                <w:sz w:val="22"/>
                <w:szCs w:val="22"/>
                <w:rtl w:val="0"/>
              </w:rPr>
              <w:t xml:space="preserve">Prihlášku schválil (vyplní člen rady združenia)</w:t>
            </w:r>
            <w:r w:rsidDel="00000000" w:rsidR="00000000" w:rsidRPr="00000000">
              <w:rPr>
                <w:rtl w:val="0"/>
              </w:rPr>
            </w:r>
          </w:p>
          <w:p w:rsidR="00000000" w:rsidDel="00000000" w:rsidP="00000000" w:rsidRDefault="00000000" w:rsidRPr="00000000" w14:paraId="0000002B">
            <w:pPr>
              <w:widowControl w:val="1"/>
              <w:spacing w:after="100" w:before="40" w:line="259" w:lineRule="auto"/>
              <w:ind w:left="0" w:right="0" w:firstLine="0"/>
              <w:jc w:val="left"/>
              <w:rPr>
                <w:sz w:val="22"/>
                <w:szCs w:val="22"/>
              </w:rPr>
            </w:pPr>
            <w:r w:rsidDel="00000000" w:rsidR="00000000" w:rsidRPr="00000000">
              <w:rPr>
                <w:sz w:val="22"/>
                <w:szCs w:val="22"/>
                <w:rtl w:val="0"/>
              </w:rPr>
              <w:t xml:space="preserve"> D</w:t>
            </w:r>
            <w:r w:rsidDel="00000000" w:rsidR="00000000" w:rsidRPr="00000000">
              <w:rPr>
                <w:color w:val="000000"/>
                <w:sz w:val="22"/>
                <w:szCs w:val="22"/>
                <w:rtl w:val="0"/>
              </w:rPr>
              <w:t xml:space="preserve">átum</w:t>
            </w:r>
            <w:r w:rsidDel="00000000" w:rsidR="00000000" w:rsidRPr="00000000">
              <w:rPr>
                <w:sz w:val="22"/>
                <w:szCs w:val="22"/>
                <w:rtl w:val="0"/>
              </w:rPr>
              <w:t xml:space="preserve"> :                                                                          </w:t>
            </w:r>
          </w:p>
          <w:p w:rsidR="00000000" w:rsidDel="00000000" w:rsidP="00000000" w:rsidRDefault="00000000" w:rsidRPr="00000000" w14:paraId="0000002C">
            <w:pPr>
              <w:widowControl w:val="1"/>
              <w:spacing w:after="100" w:before="40" w:line="259" w:lineRule="auto"/>
              <w:ind w:left="0" w:right="0" w:firstLine="0"/>
              <w:jc w:val="left"/>
              <w:rPr>
                <w:rFonts w:ascii="Times New Roman" w:cs="Times New Roman" w:eastAsia="Times New Roman" w:hAnsi="Times New Roman"/>
              </w:rPr>
            </w:pPr>
            <w:r w:rsidDel="00000000" w:rsidR="00000000" w:rsidRPr="00000000">
              <w:rPr>
                <w:b w:val="1"/>
                <w:sz w:val="22"/>
                <w:szCs w:val="22"/>
                <w:rtl w:val="0"/>
              </w:rPr>
              <w:t xml:space="preserve"> </w:t>
            </w:r>
            <w:r w:rsidDel="00000000" w:rsidR="00000000" w:rsidRPr="00000000">
              <w:rPr>
                <w:b w:val="0"/>
                <w:i w:val="0"/>
                <w:smallCaps w:val="0"/>
                <w:strike w:val="0"/>
                <w:color w:val="000000"/>
                <w:sz w:val="22"/>
                <w:szCs w:val="22"/>
                <w:u w:val="none"/>
                <w:rtl w:val="0"/>
              </w:rPr>
              <w:t xml:space="preserve">Meno a priezvisko člena rady združenia:                               ____________________________</w:t>
            </w:r>
            <w:r w:rsidDel="00000000" w:rsidR="00000000" w:rsidRPr="00000000">
              <w:rPr>
                <w:b w:val="0"/>
                <w:sz w:val="22"/>
                <w:szCs w:val="22"/>
                <w:rtl w:val="0"/>
              </w:rPr>
              <w:t xml:space="preserve"> </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2E">
      <w:pPr>
        <w:spacing w:after="114" w:before="0" w:line="259" w:lineRule="auto"/>
        <w:ind w:left="0" w:right="2" w:firstLine="0"/>
        <w:jc w:val="center"/>
        <w:rPr>
          <w:rFonts w:ascii="Times New Roman" w:cs="Times New Roman" w:eastAsia="Times New Roman" w:hAnsi="Times New Roman"/>
          <w:b w:val="1"/>
          <w:i w:val="0"/>
          <w:smallCaps w:val="0"/>
          <w:strike w:val="0"/>
          <w:color w:val="000000"/>
          <w:sz w:val="32"/>
          <w:szCs w:val="32"/>
          <w:u w:val="no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Oboznámenie so </w:t>
      </w:r>
      <w:r w:rsidDel="00000000" w:rsidR="00000000" w:rsidRPr="00000000">
        <w:rPr>
          <w:b w:val="1"/>
          <w:sz w:val="32"/>
          <w:szCs w:val="32"/>
          <w:rtl w:val="0"/>
        </w:rPr>
        <w:t xml:space="preserve">spracovaním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osobných údajov</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podľa článku 13.,</w:t>
      </w:r>
      <w:r w:rsidDel="00000000" w:rsidR="00000000" w:rsidRPr="00000000">
        <w:rPr>
          <w:rFonts w:ascii="Times New Roman" w:cs="Times New Roman" w:eastAsia="Times New Roman" w:hAnsi="Times New Roman"/>
          <w:b w:val="0"/>
          <w:i w:val="0"/>
          <w:smallCaps w:val="0"/>
          <w:strike w:val="0"/>
          <w:color w:val="1b1b1b"/>
          <w:sz w:val="22"/>
          <w:szCs w:val="22"/>
          <w:u w:val="none"/>
          <w:shd w:fill="auto" w:val="clear"/>
          <w:vertAlign w:val="baseline"/>
          <w:rtl w:val="0"/>
        </w:rPr>
        <w:t xml:space="preserve">NARIADENIA EURÓPSKEHO PARLAMENTU A RADY (EÚ) 2016/679 z 27. apríla 2016 o ochrane fyzických osôb pri spracúvaní osobných údajov a o voľnom pohybe </w:t>
      </w:r>
      <w:r w:rsidDel="00000000" w:rsidR="00000000" w:rsidRPr="00000000">
        <w:rPr>
          <w:color w:val="1b1b1b"/>
          <w:sz w:val="22"/>
          <w:szCs w:val="22"/>
          <w:rtl w:val="0"/>
        </w:rPr>
        <w:t xml:space="preserve">týchto</w:t>
      </w:r>
      <w:r w:rsidDel="00000000" w:rsidR="00000000" w:rsidRPr="00000000">
        <w:rPr>
          <w:rFonts w:ascii="Times New Roman" w:cs="Times New Roman" w:eastAsia="Times New Roman" w:hAnsi="Times New Roman"/>
          <w:b w:val="0"/>
          <w:i w:val="0"/>
          <w:smallCaps w:val="0"/>
          <w:strike w:val="0"/>
          <w:color w:val="1b1b1b"/>
          <w:sz w:val="22"/>
          <w:szCs w:val="22"/>
          <w:u w:val="none"/>
          <w:shd w:fill="auto" w:val="clear"/>
          <w:vertAlign w:val="baseline"/>
          <w:rtl w:val="0"/>
        </w:rPr>
        <w:t xml:space="preserve"> údajov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zákona č. 18/2018 Z.z. o ochrane osobných údajov a o zmene a doplnení niektorých zákonov.</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66" w:right="0" w:hanging="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Identifikačné údaje prevádzkovateľa: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Karpatský lezecký klub – Carpathian climbing club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 sídlom Pri starom letisku 10035/2, 831 07</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Bratislava – mestská časť Vajnory,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ČO: 42413435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(ďalej len „Prevádzkovateľ)</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Účel spracúvania osobných údajov prevádzkovateľom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66" w:right="0" w:hanging="1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Spracovanie údajov pre účely:</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Vedenie Účtovných dokladov (Spracovanie účtovných dokladov, daňová agenda, knihy pohľadávok a záväzkov, faktúry,..), </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Právna agenda (vybavovanie súdnych sporov, exekúcie, zmluvy),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Registratúra (archivácie dokumentácie v zmysle zákona),</w:t>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Databáza členov (evidencia členov)</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Databáza inštruktorov (evidencia inštruktorov), </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Vydávanie preukazov,</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Poisťovanie členov,</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Publikačná činnosť (vydávanie tlačovín a článkov),</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Newsletter (vydávanie Nevslettera),</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Organizovanie kurzov,</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Organizovanie akcií,</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Registrácia členov,</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Zverejňovanie údajov v zmysle zákona,</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Zverejňovanie fotografií a videí na propagačné účely spoločnosti,</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Vybavovanie žiadostí dotknutých osôb.</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Zoznam osobných údajov :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meno, priezvisko, titul, podpis, špecializácia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telefónne číslo,  e-mailová adresa,</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trvalé bydlisko,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Doplňujúce informácie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v rozsahu článku C. spracovávané za účelom spracovania Účtovných dokladov, Právnej agendy, Registratúry, Databázy členov, Databázy inštruktorov, Poisťovania členov, Vydávania preukazov, Zverejňovania údajov v zmysle zákona, Vybavovania žiadostí dotknutých osôb v zmysle článku 6, ods. 1 písmeno c, Nariadenia Európskeho parlamentu a Rady (EÚ) 2016/679 (GDPR)  - spracúvanie osobných údajov je nevyhnutné podľa osobitného predpisu alebo medzinárodnej zmluvy, ktorou je Slovenská republika viazaná.</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v rozsahu meno, priezvisko, emailová adresa spracovávané za účelom fungovania agendy Právna agenda, Registrácia členov, Organizovanie kurzov, Organizovanie akcií, v zmysle článku 6, ods. 1 písmeno b), Nariadenia Európskeho parlamentu a Rady (EÚ) 2016/679 (GDPR) Spracúvanie je nevyhnutné na plnenie zmluvy, ktorej zmluvnou stranou je dotknutá osoba, alebo aby sa na základe žiadosti dotknutej osoby vykonali opatrenia pred uzatvorením zmluvy.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v rozsahu: meno, priezvisko, funkcia zamestnanca spracovávané za účelom Publikačnej činnosti, Newslettra, Zverejňovanie fotografií a videí – spracovávané v zmysle článku 6 ods. 1 písm. a) - Dotknutá osoba vyjadrila súhlas so spracúvaním svojich osobných údajov na jeden alebo viaceré konkrétne účely</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873" w:right="0" w:hanging="283"/>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Osobné údaje budú poskytnuté tretím stranám v zmysle zákona (Sociálna poisťovňa, Zdravotná poisťovna, úrad práce,...) a  sprostredkovateľom, spoločnostiam SHS JAMES  (dalej ako „Sprostredkovatelia“) a to na základe zmlúv.</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20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Osobné údaje nebudú použité na automatizované individuálne rozhodovanie.</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vyhlasuje, že pri výbere sprostredkovateľov dbal na ich odbornú, technickú, organizačnú a personálnu spôsobilosť a ich schopnosť zaručiť bezpečnosť spracúvaných osobných údajov opatreniami v zmysle zákona č. 18/2018 Z.z. o ochrane osobných údajov  a Nariadenia Európskeho parlamentu a Rady (EÚ) 2016/679 (GDPR).</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vyhlasuje, že má prijaté všetky opatrenia v zmysle zákona č. 18/2018 Z.z. o ochrane osobných údajov  a Nariadenia Európskeho parlamentu a Rady (EÚ) 2016/679 (GDPR) a týmto sa zaväzuje chrániť tieto údaje pred náhodným ako aj nezákonným poškodením a zničením, náhodnou stratou, zmenou, nepovoleným prístupom a sprístupnením ako aj pred akýmikoľvek inými neprípustnými formami spracúvania v zmysle opatrení prijatých v posúdení vplyvu na ochranu osobných údajov.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Sprostredkovateľ sa zaväzuje spracúvať osobné údaje len v rozsahu a za podmienok dojednaných v poverení sprostredkovateľa spracovaním osobných údajov.</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prehlasuje, že nebude poskytovať osobné údaje iným Sprostredkovateľom, ako tým, ktorý sú uvedené v tomto oboznámení.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prehlasuje, že bude zhromažďovať osobné údaje v rozsahu nevyhnutnom pre naplnenie stanoveného účelu a spracovávať len v súlade s účelom, na ktorý boli zhromaždené.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je povinný zachovávať mlčanlivosť o osobných údajoch, ktoré spracúvajú. Povinnosť mlčanlivosti trvá aj po ukončení spracúvania osobných údajov.</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873"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spoločnosti nie je ustanovená zodpovedná osoba.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Kontaktné údaje pre uplatnenie si svojich práv: info@carpathianclimb.sk</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Doba uchovávania OU:</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zmluvy – 10 rokov</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evidencia uplatnených práv dotknutých osôb podľa zákona č. 18/2018 Z. z. o ochrane osobných údajov a o zmene a doplnení niektorých zákonov – podľa Registratúrneho plánu</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správa registratúry – 10 rokov (registratúrny denník), 5 rokov (preberacie zoznamy spisov odovzdaných do registratúrneho strediska), 5 rokov (evidencia vypožičaných spisov z registratúrneho strediska), 10 rokov (vyraďovacie konanie), 5 rokov (evidencia obehu registratúrnych záznamov a spisov), 5* (evidencia evidenčných pomôcok)</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vybavovanie súdnych sporov – 5 rokov</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spracovanie účtovných dokladov – 10 rokov</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vedenie právnej agendy – 10 rokov</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vedenie agendy databázy klientov a partnerov – 10 rokov</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vedenie agendy vybavovania žiadostí dotknutých osôb – 5 rokov</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s>
        <w:spacing w:after="0" w:before="0" w:line="331" w:lineRule="auto"/>
        <w:ind w:left="142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vedenie agendy pokladne – 10 rokov</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720"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66" w:right="0" w:hanging="1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 Poučenie o právach dotknutej osoby:</w:t>
      </w:r>
    </w:p>
    <w:p w:rsidR="00000000" w:rsidDel="00000000" w:rsidP="00000000" w:rsidRDefault="00000000" w:rsidRPr="00000000" w14:paraId="00000068">
      <w:pPr>
        <w:pStyle w:val="Heading3"/>
        <w:spacing w:after="120" w:before="0" w:line="288" w:lineRule="auto"/>
        <w:ind w:left="0" w:right="0" w:hanging="432"/>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 prístup</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právo získať od prevádzkovateľa potvrdenie o tom, či sa spracúvajú osobné údaje, ktoré sa jej týkajú, a ak tomu tak je, má právo získať prístup k týmto osobným údajom a tieto informácie: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účely spracúvania;</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kategórie dotknutých osobných údajov; </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príjemcovia alebo kategórie príjemcov, ktorým boli alebo budú osobné údaje poskytnuté, najmä príjemcovia v tretích krajinách alebo medzinárodné organizácie; </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je to možné, predpokladaná doba uchovávania osobných údajov alebo, ak to nie je   možné, kritériá na jej určenie;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existencia práva požadovať od prevádzkovateľa opravu osobných údajov týkajúcich sa  dotknutej osoby alebo ich vymazanie alebo obmedzenie spracúvania, alebo práva namietať proti takémuto spracúvaniu; </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právo podať sťažnosť dozornému orgánu;</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osobné údaje nezískali od dotknutej osoby, akékoľvek dostupné informácie, pokiaľ ide o ich zdroj;</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existencia automatizovaného rozhodovania vrátane profilovania uvedeného v článku 22 ods. 1 a4 Nariadenia a v týchto prípadoch aspoň zmysluplné informácie o použitom postupe, ako aj význame a predpokladaných dôsledkoch takéhoto spracúvania pre dotknutú osobu.</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osobné údaje prenášajú do tretej krajiny alebo medzinárodnej organizácii, dotknutá osoba má právo byť informovaná o primeraných zárukách podľa článku 46 Nariadenia týkajúcich sa prenosu. </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Právo získať kópiu uvedenú v odseku 3 nesmie mať nepriaznivé dôsledky na práva a slobody iných.</w:t>
      </w:r>
    </w:p>
    <w:p w:rsidR="00000000" w:rsidDel="00000000" w:rsidP="00000000" w:rsidRDefault="00000000" w:rsidRPr="00000000" w14:paraId="00000075">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 opravu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 vymazanie („zabúdanie“)</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už nie sú potrebné na účely, na ktoré sa získavali alebo inak spracúvali;</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odvolá súhlas, na základe ktorého sa spracúvanie vykonáva, podľa článku 6 ods. 1 písm. a) Nariadenia alebo článku 9 ods. 2 písm. a) Nariadenia, a ak neexistuje iný právny základ pre spracúvanie; </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namieta voči spracúvaniu podľa článku 21 ods. 1 a neprevažujú žiadne oprávnené dôvody na spracúvanie alebo dotknutá osoba namieta voči spracúvaniu podľa článku 21 ods. 2 Nariadenia; </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sa spracúvali nezákonne; </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musia byť vymazané, aby sa splnila zákonná povinnosť podľa práva Únie alebo práva členského štátu, ktorému prevádzkovateľ podlieha; </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osobné údaje sa získavali v súvislosti s ponukou služieb informačnej spoločnosti podľa článku 8 ods. 1 Nariadenia.</w:t>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Odseky 1 a 2 sa neuplatňujú, pokiaľ je spracúvanie potrebné:</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uplatnenie práva na slobodu prejavu a na informácie;</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dôvodov verejného záujmu v oblasti verejného zdravia v súlade s článkom 9 ods. 2 písm. h) a i) Nariadenia, ako aj článkom 9 ods. 3 Nariadenia;</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 preukazovanie, uplatňovanie alebo obhajovanie právnych nárokov.</w:t>
      </w:r>
    </w:p>
    <w:p w:rsidR="00000000" w:rsidDel="00000000" w:rsidP="00000000" w:rsidRDefault="00000000" w:rsidRPr="00000000" w14:paraId="00000087">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 obmedzenie spracúvania</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právo na to, aby prevádzkovateľ obmedzil spracúvanie, pokiaľ ide o jeden z týchto prípadov:  </w:t>
      </w:r>
    </w:p>
    <w:p w:rsidR="00000000" w:rsidDel="00000000" w:rsidP="00000000" w:rsidRDefault="00000000" w:rsidRPr="00000000" w14:paraId="000000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napadne správnosť osobných údajov, a to počas obdobia umožňujúceho prevádzkovateľovi overiť správnosť osobných údajov; </w:t>
      </w:r>
    </w:p>
    <w:p w:rsidR="00000000" w:rsidDel="00000000" w:rsidP="00000000" w:rsidRDefault="00000000" w:rsidRPr="00000000" w14:paraId="000000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spracúvanie je protizákonné a dotknutá osoba namieta proti vymazaniu osobných údajov a žiada namiesto toho obmedzenie ich použitia; </w:t>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už nepotrebuje osobné údaje na účely spracúvania, ale potrebuje ich dotknutá osoba na preukázanie, uplatňovanie alebo obhajovanie právnych nárokov;</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namietala voči spracúvaniu podľa článku 21 ods. 1 Nariadenia, a to až do overenia, či oprávnené dôvody na strane prevádzkovateľa prevažujú nad oprávnenými dôvodmi dotknutej osoby.</w:t>
      </w:r>
    </w:p>
    <w:p w:rsidR="00000000" w:rsidDel="00000000" w:rsidP="00000000" w:rsidRDefault="00000000" w:rsidRPr="00000000" w14:paraId="000000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w:t>
      </w:r>
    </w:p>
    <w:p w:rsidR="00000000" w:rsidDel="00000000" w:rsidP="00000000" w:rsidRDefault="00000000" w:rsidRPr="00000000" w14:paraId="000000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Dotknutú osobu, ktorá dosiahla obmedzenie spracúvania podľa odseku 1, prevádzkovateľ informuje pred tým, ako bude obmedzenie spracúvania zrušené.</w:t>
      </w:r>
      <w:r w:rsidDel="00000000" w:rsidR="00000000" w:rsidRPr="00000000">
        <w:rPr>
          <w:rtl w:val="0"/>
        </w:rPr>
      </w:r>
    </w:p>
    <w:p w:rsidR="00000000" w:rsidDel="00000000" w:rsidP="00000000" w:rsidRDefault="00000000" w:rsidRPr="00000000" w14:paraId="0000008F">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 prenosnosť</w:t>
      </w:r>
    </w:p>
    <w:p w:rsidR="00000000" w:rsidDel="00000000" w:rsidP="00000000" w:rsidRDefault="00000000" w:rsidRPr="00000000" w14:paraId="000000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 </w:t>
      </w:r>
    </w:p>
    <w:p w:rsidR="00000000" w:rsidDel="00000000" w:rsidP="00000000" w:rsidRDefault="00000000" w:rsidRPr="00000000" w14:paraId="000000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 spracúvanie zakladá na súhlase podľa článku 6 ods. 1 písm. a)  Nariadenia alebo článku 9 ods. 2 písm. a) Nariadenia, alebo na zmluve podľa článku 6 ods. 1 písm. b) Nariadenia, a </w:t>
      </w:r>
    </w:p>
    <w:p w:rsidR="00000000" w:rsidDel="00000000" w:rsidP="00000000" w:rsidRDefault="00000000" w:rsidRPr="00000000" w14:paraId="000000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914"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spracúvanie vykonáva automatizovanými prostriedkami.</w:t>
      </w:r>
    </w:p>
    <w:p w:rsidR="00000000" w:rsidDel="00000000" w:rsidP="00000000" w:rsidRDefault="00000000" w:rsidRPr="00000000" w14:paraId="0000009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pri uplatňovaní svojho práva na prenosnosť údajov podľa odseku 1 právo na  prenos osobných údajov priamo od jedného prevádzkovateľa druhému prevádzkovateľovi, pokiaľ je to technicky možné.</w:t>
      </w:r>
    </w:p>
    <w:p w:rsidR="00000000" w:rsidDel="00000000" w:rsidP="00000000" w:rsidRDefault="00000000" w:rsidRPr="00000000" w14:paraId="000000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Uplatňovaním práva uvedeného v odseku 1 tohto článku nie je dotknutý článok 17 Nariadenia. Uvedené právo sa nevzťahuje na spracúvanie nevyhnutné na splnenie úlohy realizovanej vo verejnom záujme alebo pri výkone verejnej moci zverenej prevádzkovateľovi.</w:t>
      </w:r>
    </w:p>
    <w:p w:rsidR="00000000" w:rsidDel="00000000" w:rsidP="00000000" w:rsidRDefault="00000000" w:rsidRPr="00000000" w14:paraId="0000009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Právo uvedené v odseku 1 nesmie mať nepriaznivé dôsledky na práva a slobody iných.</w:t>
      </w:r>
    </w:p>
    <w:p w:rsidR="00000000" w:rsidDel="00000000" w:rsidP="00000000" w:rsidRDefault="00000000" w:rsidRPr="00000000" w14:paraId="00000096">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Právo namietať</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dotknutá osoba namieta voči spracúvaniu na účely priameho marketingu, osobné údaje sa už na také účely nesmú spracúvať.</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sa výslovne upozorní na právo uvedené v ods. 1 a 2 najneskôr pri prvej komunikácií s ňou, pričom sa toto právo prezentuje jasne a oddelene od akýchkoľvek iných informácií.</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súvislosti s používaním služieb informačnej spoločnosti a bez ohľadu na smernicu 2002/58/ES môže dotknutá osoba uplatňovať svoje právo namietať automatizovanými prostriedkami s použitím technických špecifikácií.</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120" w:before="0" w:line="288" w:lineRule="auto"/>
        <w:ind w:left="707" w:right="0" w:hanging="28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66" w:right="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3"/>
        <w:spacing w:after="120" w:before="0" w:line="288" w:lineRule="auto"/>
        <w:ind w:left="0" w:right="0" w:hanging="567"/>
        <w:jc w:val="both"/>
        <w:rPr>
          <w:rFonts w:ascii="Times New Roman" w:cs="Times New Roman" w:eastAsia="Times New Roman" w:hAnsi="Times New Roman"/>
          <w:b w:val="1"/>
          <w:i w:val="0"/>
          <w:smallCaps w:val="0"/>
          <w:strike w:val="0"/>
          <w:color w:val="000000"/>
          <w:sz w:val="22"/>
          <w:szCs w:val="22"/>
          <w:u w:val="none"/>
        </w:rPr>
      </w:pPr>
      <w:r w:rsidDel="00000000" w:rsidR="00000000" w:rsidRPr="00000000">
        <w:rPr>
          <w:rFonts w:ascii="Times New Roman" w:cs="Times New Roman" w:eastAsia="Times New Roman" w:hAnsi="Times New Roman"/>
          <w:b w:val="1"/>
          <w:i w:val="0"/>
          <w:smallCaps w:val="0"/>
          <w:strike w:val="0"/>
          <w:color w:val="000000"/>
          <w:sz w:val="22"/>
          <w:szCs w:val="22"/>
          <w:u w:val="none"/>
          <w:rtl w:val="0"/>
        </w:rPr>
        <w:t xml:space="preserve">Oznámenie tretím stranám</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Prevádzkovateľ oznámi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 Prevádzkovateľ o týchto príjemcoch informuje dotknutú osobu, ak to dotknutá osoba požaduje.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Začatie konania na návrh dotknutej osoby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Dotknutá osoba má v zmysle §100 zákona 18/2018Z.z.podať návrh na začatie konania v prípade, že je priamo dotknutá na svojich právach ustanovených týmto zákonom. Úrad posúdi podnet do 30 dní odo dňa doručenia podnetu. O spôsobe vybavenia podnetu úrad informuje podávateľa do 30 dní odo dňa doručenia podnetu.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15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37" w:top="1050" w:left="1416" w:right="141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2">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3">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4">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5">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6">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7">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8">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9">
    <w:lvl w:ilvl="0">
      <w:start w:val="2"/>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0">
    <w:lvl w:ilvl="0">
      <w:start w:val="2"/>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1">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2">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3">
    <w:lvl w:ilvl="0">
      <w:start w:val="1"/>
      <w:numFmt w:val="bullet"/>
      <w:lvlText w:val="•"/>
      <w:lvlJc w:val="left"/>
      <w:pPr>
        <w:ind w:left="362" w:firstLine="0"/>
      </w:pPr>
      <w:rPr>
        <w:b w:val="0"/>
        <w:i w:val="0"/>
        <w:strike w:val="0"/>
        <w:color w:val="000000"/>
        <w:sz w:val="22"/>
        <w:szCs w:val="22"/>
        <w:u w:val="none"/>
        <w:vertAlign w:val="baseline"/>
      </w:rPr>
    </w:lvl>
    <w:lvl w:ilvl="1">
      <w:start w:val="1"/>
      <w:numFmt w:val="bullet"/>
      <w:lvlText w:val="o"/>
      <w:lvlJc w:val="left"/>
      <w:pPr>
        <w:ind w:left="1214" w:firstLine="0"/>
      </w:pPr>
      <w:rPr>
        <w:b w:val="0"/>
        <w:i w:val="0"/>
        <w:strike w:val="0"/>
        <w:color w:val="000000"/>
        <w:sz w:val="22"/>
        <w:szCs w:val="22"/>
        <w:u w:val="none"/>
        <w:vertAlign w:val="baseline"/>
      </w:rPr>
    </w:lvl>
    <w:lvl w:ilvl="2">
      <w:start w:val="1"/>
      <w:numFmt w:val="bullet"/>
      <w:lvlText w:val="▪"/>
      <w:lvlJc w:val="left"/>
      <w:pPr>
        <w:ind w:left="1934" w:firstLine="0"/>
      </w:pPr>
      <w:rPr>
        <w:b w:val="0"/>
        <w:i w:val="0"/>
        <w:strike w:val="0"/>
        <w:color w:val="000000"/>
        <w:sz w:val="22"/>
        <w:szCs w:val="22"/>
        <w:u w:val="none"/>
        <w:vertAlign w:val="baseline"/>
      </w:rPr>
    </w:lvl>
    <w:lvl w:ilvl="3">
      <w:start w:val="1"/>
      <w:numFmt w:val="bullet"/>
      <w:lvlText w:val="•"/>
      <w:lvlJc w:val="left"/>
      <w:pPr>
        <w:ind w:left="2654" w:firstLine="0"/>
      </w:pPr>
      <w:rPr>
        <w:b w:val="0"/>
        <w:i w:val="0"/>
        <w:strike w:val="0"/>
        <w:color w:val="000000"/>
        <w:sz w:val="22"/>
        <w:szCs w:val="22"/>
        <w:u w:val="none"/>
        <w:vertAlign w:val="baseline"/>
      </w:rPr>
    </w:lvl>
    <w:lvl w:ilvl="4">
      <w:start w:val="1"/>
      <w:numFmt w:val="bullet"/>
      <w:lvlText w:val="o"/>
      <w:lvlJc w:val="left"/>
      <w:pPr>
        <w:ind w:left="3374" w:firstLine="0"/>
      </w:pPr>
      <w:rPr>
        <w:b w:val="0"/>
        <w:i w:val="0"/>
        <w:strike w:val="0"/>
        <w:color w:val="000000"/>
        <w:sz w:val="22"/>
        <w:szCs w:val="22"/>
        <w:u w:val="none"/>
        <w:vertAlign w:val="baseline"/>
      </w:rPr>
    </w:lvl>
    <w:lvl w:ilvl="5">
      <w:start w:val="1"/>
      <w:numFmt w:val="bullet"/>
      <w:lvlText w:val="▪"/>
      <w:lvlJc w:val="left"/>
      <w:pPr>
        <w:ind w:left="4094" w:firstLine="0"/>
      </w:pPr>
      <w:rPr>
        <w:b w:val="0"/>
        <w:i w:val="0"/>
        <w:strike w:val="0"/>
        <w:color w:val="000000"/>
        <w:sz w:val="22"/>
        <w:szCs w:val="22"/>
        <w:u w:val="none"/>
        <w:vertAlign w:val="baseline"/>
      </w:rPr>
    </w:lvl>
    <w:lvl w:ilvl="6">
      <w:start w:val="1"/>
      <w:numFmt w:val="bullet"/>
      <w:lvlText w:val="•"/>
      <w:lvlJc w:val="left"/>
      <w:pPr>
        <w:ind w:left="4814" w:firstLine="0"/>
      </w:pPr>
      <w:rPr>
        <w:b w:val="0"/>
        <w:i w:val="0"/>
        <w:strike w:val="0"/>
        <w:color w:val="000000"/>
        <w:sz w:val="22"/>
        <w:szCs w:val="22"/>
        <w:u w:val="none"/>
        <w:vertAlign w:val="baseline"/>
      </w:rPr>
    </w:lvl>
    <w:lvl w:ilvl="7">
      <w:start w:val="1"/>
      <w:numFmt w:val="bullet"/>
      <w:lvlText w:val="o"/>
      <w:lvlJc w:val="left"/>
      <w:pPr>
        <w:ind w:left="5534" w:firstLine="0"/>
      </w:pPr>
      <w:rPr>
        <w:b w:val="0"/>
        <w:i w:val="0"/>
        <w:strike w:val="0"/>
        <w:color w:val="000000"/>
        <w:sz w:val="22"/>
        <w:szCs w:val="22"/>
        <w:u w:val="none"/>
        <w:vertAlign w:val="baseline"/>
      </w:rPr>
    </w:lvl>
    <w:lvl w:ilvl="8">
      <w:start w:val="1"/>
      <w:numFmt w:val="bullet"/>
      <w:lvlText w:val="▪"/>
      <w:lvlJc w:val="left"/>
      <w:pPr>
        <w:ind w:left="6254" w:firstLine="0"/>
      </w:pPr>
      <w:rPr>
        <w:b w:val="0"/>
        <w:i w:val="0"/>
        <w:strike w:val="0"/>
        <w:color w:val="000000"/>
        <w:sz w:val="22"/>
        <w:szCs w:val="22"/>
        <w:u w:val="none"/>
        <w:vertAlign w:val="baseline"/>
      </w:rPr>
    </w:lvl>
  </w:abstractNum>
  <w:abstractNum w:abstractNumId="14">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5">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6">
    <w:lvl w:ilvl="0">
      <w:start w:val="2"/>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7">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8">
    <w:lvl w:ilvl="0">
      <w:start w:val="1"/>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9">
    <w:lvl w:ilvl="0">
      <w:start w:val="2"/>
      <w:numFmt w:val="decimal"/>
      <w:lvlText w:val="%1."/>
      <w:lvlJc w:val="left"/>
      <w:pPr>
        <w:ind w:left="707" w:hanging="282.99999999999994"/>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spacing w:after="107" w:line="225" w:lineRule="auto"/>
        <w:ind w:left="166"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ind w:left="166" w:right="0" w:hanging="10"/>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0.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sjames.org/formy-clenstva/james-slovensko/" TargetMode="External"/><Relationship Id="rId7" Type="http://schemas.openxmlformats.org/officeDocument/2006/relationships/hyperlink" Target="https://shsjames.org/formy-clenstva/james-svet-a-james-sve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